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10218D">
        <w:rPr>
          <w:sz w:val="22"/>
        </w:rPr>
        <w:t xml:space="preserve">        </w:t>
      </w:r>
      <w:r w:rsidR="004509BE" w:rsidRPr="0078057B">
        <w:rPr>
          <w:sz w:val="22"/>
        </w:rPr>
        <w:t>Приложение №</w:t>
      </w:r>
      <w:r w:rsidR="005A2302">
        <w:rPr>
          <w:sz w:val="22"/>
        </w:rPr>
        <w:t xml:space="preserve"> </w:t>
      </w:r>
      <w:r w:rsidR="00281785">
        <w:rPr>
          <w:sz w:val="22"/>
        </w:rPr>
        <w:t>7</w:t>
      </w:r>
      <w:r w:rsidR="0010218D">
        <w:rPr>
          <w:sz w:val="22"/>
        </w:rPr>
        <w:t xml:space="preserve"> </w:t>
      </w:r>
      <w:r w:rsidR="00EF7F34">
        <w:rPr>
          <w:sz w:val="22"/>
        </w:rPr>
        <w:t xml:space="preserve"> 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 </w:t>
      </w:r>
      <w:r w:rsidR="005A2302">
        <w:rPr>
          <w:sz w:val="22"/>
        </w:rPr>
        <w:t xml:space="preserve">  </w:t>
      </w:r>
      <w:r w:rsidR="008F2EA9">
        <w:rPr>
          <w:sz w:val="22"/>
        </w:rPr>
        <w:t xml:space="preserve">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CA29F6">
        <w:t xml:space="preserve"> 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</w:t>
      </w:r>
      <w:r w:rsidR="005A2302">
        <w:rPr>
          <w:sz w:val="22"/>
        </w:rPr>
        <w:t xml:space="preserve">                        </w:t>
      </w:r>
      <w:r>
        <w:rPr>
          <w:sz w:val="22"/>
        </w:rPr>
        <w:t xml:space="preserve"> </w:t>
      </w:r>
      <w:r w:rsidR="004509BE" w:rsidRPr="0078057B">
        <w:rPr>
          <w:sz w:val="22"/>
        </w:rPr>
        <w:t>от «</w:t>
      </w:r>
      <w:r w:rsidR="00CA29F6">
        <w:rPr>
          <w:sz w:val="22"/>
        </w:rPr>
        <w:t xml:space="preserve"> 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C179E9" w:rsidRPr="00F63711" w:rsidRDefault="00C179E9" w:rsidP="00C179E9">
      <w:pPr>
        <w:spacing w:after="120"/>
        <w:ind w:firstLine="567"/>
        <w:jc w:val="both"/>
        <w:rPr>
          <w:szCs w:val="24"/>
        </w:rPr>
      </w:pPr>
      <w:r w:rsidRPr="00034BB5">
        <w:rPr>
          <w:szCs w:val="24"/>
        </w:rPr>
        <w:t xml:space="preserve">Общество с ограниченной ответственностью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 (сокращенное наименование – ООО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), именуемое в </w:t>
      </w:r>
      <w:r>
        <w:rPr>
          <w:szCs w:val="24"/>
        </w:rPr>
        <w:t>дальнейшем «</w:t>
      </w:r>
      <w:r w:rsidR="00CA29F6">
        <w:rPr>
          <w:szCs w:val="24"/>
        </w:rPr>
        <w:t>Покупатель</w:t>
      </w:r>
      <w:r>
        <w:rPr>
          <w:szCs w:val="24"/>
        </w:rPr>
        <w:t xml:space="preserve">», в лице </w:t>
      </w:r>
      <w:r w:rsidR="00CA29F6">
        <w:rPr>
          <w:szCs w:val="24"/>
        </w:rPr>
        <w:t xml:space="preserve">                                 </w:t>
      </w:r>
      <w:r w:rsidRPr="00034BB5">
        <w:rPr>
          <w:szCs w:val="24"/>
        </w:rPr>
        <w:t>действующего на основании  Устава, с одной стороны, и общество с ограниченной ответственностью «</w:t>
      </w:r>
      <w:proofErr w:type="spellStart"/>
      <w:r w:rsidRPr="00034BB5">
        <w:rPr>
          <w:szCs w:val="24"/>
        </w:rPr>
        <w:t>Байкитская</w:t>
      </w:r>
      <w:proofErr w:type="spellEnd"/>
      <w:r w:rsidRPr="00034BB5">
        <w:rPr>
          <w:szCs w:val="24"/>
        </w:rPr>
        <w:t xml:space="preserve"> </w:t>
      </w:r>
      <w:proofErr w:type="spellStart"/>
      <w:r w:rsidRPr="00034BB5">
        <w:rPr>
          <w:szCs w:val="24"/>
        </w:rPr>
        <w:t>нефтегазоразведочная</w:t>
      </w:r>
      <w:proofErr w:type="spellEnd"/>
      <w:r w:rsidRPr="00034BB5">
        <w:rPr>
          <w:szCs w:val="24"/>
        </w:rPr>
        <w:t xml:space="preserve"> экспедиция» (сокращенное наименование – ООО «БНГРЭ»), именуемое в дальнейшем «П</w:t>
      </w:r>
      <w:r w:rsidR="00CA29F6">
        <w:rPr>
          <w:szCs w:val="24"/>
        </w:rPr>
        <w:t>родавец</w:t>
      </w:r>
      <w:r w:rsidRPr="00034BB5">
        <w:rPr>
          <w:szCs w:val="24"/>
        </w:rPr>
        <w:t xml:space="preserve">», в лице Генерального директора Ганиева Наиля Фаритовича, </w:t>
      </w:r>
      <w:r w:rsidRPr="00034BB5">
        <w:rPr>
          <w:color w:val="000000"/>
          <w:szCs w:val="24"/>
        </w:rPr>
        <w:t>действующего на основании  Устава</w:t>
      </w:r>
      <w:r w:rsidRPr="00034BB5">
        <w:rPr>
          <w:szCs w:val="24"/>
        </w:rPr>
        <w:t>, с другой стороны, именуемые вместе «Стороны», а по отдельности «Сторона»</w:t>
      </w:r>
      <w:r w:rsidRPr="00034BB5">
        <w:rPr>
          <w:bCs/>
          <w:szCs w:val="24"/>
        </w:rPr>
        <w:t>,</w:t>
      </w:r>
      <w:r w:rsidRPr="00034BB5">
        <w:rPr>
          <w:szCs w:val="24"/>
        </w:rPr>
        <w:t xml:space="preserve"> заключили настоящее Приложение</w:t>
      </w:r>
      <w:r w:rsidRPr="00EF2E4D">
        <w:rPr>
          <w:szCs w:val="24"/>
        </w:rPr>
        <w:t xml:space="preserve"> № </w:t>
      </w:r>
      <w:r w:rsidR="00281785">
        <w:rPr>
          <w:szCs w:val="24"/>
        </w:rPr>
        <w:t>__</w:t>
      </w:r>
      <w:r w:rsidRPr="00EF2E4D">
        <w:rPr>
          <w:szCs w:val="24"/>
        </w:rPr>
        <w:t xml:space="preserve"> </w:t>
      </w:r>
      <w:r w:rsidR="00F63711">
        <w:rPr>
          <w:szCs w:val="24"/>
        </w:rPr>
        <w:t xml:space="preserve">к </w:t>
      </w:r>
      <w:r w:rsidRPr="00EF2E4D">
        <w:rPr>
          <w:szCs w:val="24"/>
        </w:rPr>
        <w:t xml:space="preserve"> договору </w:t>
      </w:r>
      <w:r w:rsidR="00501B18">
        <w:rPr>
          <w:szCs w:val="24"/>
        </w:rPr>
        <w:t xml:space="preserve"> </w:t>
      </w:r>
      <w:r w:rsidRPr="00EF2E4D">
        <w:rPr>
          <w:szCs w:val="24"/>
        </w:rPr>
        <w:t xml:space="preserve">№ </w:t>
      </w:r>
      <w:r w:rsidR="00CA29F6">
        <w:rPr>
          <w:szCs w:val="24"/>
        </w:rPr>
        <w:t xml:space="preserve">      </w:t>
      </w:r>
      <w:r w:rsidR="00DA11A0">
        <w:rPr>
          <w:szCs w:val="24"/>
        </w:rPr>
        <w:t>2024</w:t>
      </w:r>
      <w:r w:rsidRPr="00FB48B4">
        <w:rPr>
          <w:szCs w:val="24"/>
        </w:rPr>
        <w:t xml:space="preserve"> </w:t>
      </w:r>
      <w:r w:rsidRPr="00EF2E4D">
        <w:rPr>
          <w:szCs w:val="24"/>
        </w:rPr>
        <w:t xml:space="preserve">от </w:t>
      </w:r>
      <w:r w:rsidR="00CA29F6">
        <w:rPr>
          <w:szCs w:val="24"/>
        </w:rPr>
        <w:t xml:space="preserve">                </w:t>
      </w:r>
      <w:r w:rsidRPr="00F63711">
        <w:rPr>
          <w:szCs w:val="24"/>
        </w:rPr>
        <w:t xml:space="preserve"> </w:t>
      </w:r>
      <w:r w:rsidR="00F63711" w:rsidRPr="00F63711">
        <w:rPr>
          <w:szCs w:val="24"/>
        </w:rPr>
        <w:t>о нижеследующем:</w:t>
      </w:r>
      <w:bookmarkStart w:id="1" w:name="_GoBack"/>
      <w:bookmarkEnd w:id="1"/>
    </w:p>
    <w:p w:rsidR="00C179E9" w:rsidRPr="0078057B" w:rsidRDefault="00C179E9" w:rsidP="00C179E9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C179E9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П</w:t>
      </w:r>
      <w:r w:rsidR="00CA29F6">
        <w:rPr>
          <w:sz w:val="22"/>
        </w:rPr>
        <w:t>окупателем</w:t>
      </w:r>
      <w:r>
        <w:rPr>
          <w:sz w:val="22"/>
        </w:rPr>
        <w:t xml:space="preserve">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П</w:t>
      </w:r>
      <w:r w:rsidR="00CA29F6">
        <w:rPr>
          <w:sz w:val="22"/>
        </w:rPr>
        <w:t>окупателями</w:t>
      </w:r>
      <w:r>
        <w:rPr>
          <w:sz w:val="22"/>
        </w:rPr>
        <w:t xml:space="preserve">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своих обязательств по Договору</w:t>
      </w:r>
      <w:r w:rsidR="004509BE" w:rsidRPr="0078057B">
        <w:rPr>
          <w:sz w:val="22"/>
        </w:rPr>
        <w:t>.</w:t>
      </w:r>
    </w:p>
    <w:p w:rsidR="00592E07" w:rsidRPr="0078057B" w:rsidRDefault="00704CAA" w:rsidP="004509BE">
      <w:pPr>
        <w:jc w:val="both"/>
        <w:rPr>
          <w:sz w:val="22"/>
        </w:rPr>
      </w:pPr>
      <w:r>
        <w:rPr>
          <w:sz w:val="22"/>
        </w:rPr>
        <w:t>Далее по тексту настоящего Приложения П</w:t>
      </w:r>
      <w:r w:rsidR="00CA29F6">
        <w:rPr>
          <w:sz w:val="22"/>
        </w:rPr>
        <w:t>родавец</w:t>
      </w:r>
      <w:r>
        <w:rPr>
          <w:sz w:val="22"/>
        </w:rPr>
        <w:t xml:space="preserve"> именуется ЗАКАЗЧИК, а по</w:t>
      </w:r>
      <w:r w:rsidR="00CA29F6">
        <w:rPr>
          <w:sz w:val="22"/>
        </w:rPr>
        <w:t>купатель</w:t>
      </w:r>
      <w:r>
        <w:rPr>
          <w:sz w:val="22"/>
        </w:rPr>
        <w:t xml:space="preserve"> – ПОДРЯДЧИК или ИСПОЛНИТЕЛЬ.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509BE" w:rsidRPr="005C778E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 w:rsidR="00C611D9"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4509BE" w:rsidRPr="006B6AD7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A72955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5512AF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2272C7" w:rsidRDefault="00A72955" w:rsidP="0083683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 Подтверждается актами, предписаниями)</w:t>
            </w:r>
          </w:p>
        </w:tc>
      </w:tr>
      <w:tr w:rsidR="00A72955" w:rsidRPr="0078057B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91392" w:rsidRDefault="00A72955" w:rsidP="0083683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Нарушение требований Стандарта 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Pr="00F91392">
              <w:rPr>
                <w:rFonts w:eastAsia="Times New Roman"/>
              </w:rPr>
              <w:t xml:space="preserve"> </w:t>
            </w:r>
            <w:r w:rsidRPr="00F91392">
              <w:rPr>
                <w:sz w:val="22"/>
              </w:rPr>
              <w:t>ЗАКАЗЧИКА (за каждый факт) и/или:</w:t>
            </w:r>
          </w:p>
          <w:p w:rsidR="00A72955" w:rsidRPr="00F91392" w:rsidRDefault="00A72955" w:rsidP="005512AF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- 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91392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91392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91392">
              <w:rPr>
                <w:sz w:val="22"/>
              </w:rPr>
              <w:br/>
              <w:t>- запрещенных орудий лова рыбных запасов и дичи;</w:t>
            </w:r>
            <w:r w:rsidRPr="00F91392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A72955" w:rsidRPr="0066792B" w:rsidRDefault="00A72955" w:rsidP="0066792B">
            <w:pPr>
              <w:spacing w:after="120"/>
              <w:rPr>
                <w:sz w:val="22"/>
                <w:highlight w:val="yellow"/>
              </w:rPr>
            </w:pPr>
            <w:r w:rsidRPr="00F91392">
              <w:rPr>
                <w:sz w:val="22"/>
              </w:rPr>
              <w:t>-обнаружение сотрудника ПОДРЯДЧИКА и/или СУБПОДРЯДЧИКА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1 000 000 + возмещение транспортных затрат по удалению работника.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EF0A49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ПОДРЯДЧИКА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Pr="002272C7">
              <w:rPr>
                <w:sz w:val="22"/>
                <w:szCs w:val="22"/>
                <w:lang w:val="ru-RU"/>
              </w:rPr>
              <w:t>/услугам, неаттестованными или не прошедшими проверку знаний и/или инструктаж;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ПОДРЯДЧИКОВ </w:t>
            </w:r>
            <w:r w:rsidRPr="002272C7">
              <w:rPr>
                <w:sz w:val="22"/>
                <w:szCs w:val="22"/>
                <w:lang w:val="ru-RU"/>
              </w:rPr>
              <w:t xml:space="preserve"> по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СИЗ, необходимых при проведении конкретного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>
              <w:rPr>
                <w:sz w:val="22"/>
                <w:szCs w:val="22"/>
                <w:lang w:val="ru-RU"/>
              </w:rPr>
              <w:t xml:space="preserve">ПОДРЯДЧИКАМИ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>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72955" w:rsidRPr="00C56CFC" w:rsidRDefault="00A72955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A72955" w:rsidRPr="00C56CFC" w:rsidRDefault="00A72955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 w:rsidR="00BF7858">
              <w:rPr>
                <w:iCs/>
                <w:sz w:val="22"/>
              </w:rPr>
              <w:t xml:space="preserve">, </w:t>
            </w:r>
            <w:r w:rsidR="00BF7858" w:rsidRPr="00237185">
              <w:rPr>
                <w:iCs/>
                <w:sz w:val="21"/>
                <w:szCs w:val="21"/>
                <w:highlight w:val="yellow"/>
              </w:rPr>
              <w:t xml:space="preserve">не </w:t>
            </w:r>
            <w:proofErr w:type="gramStart"/>
            <w:r w:rsidR="00BF7858" w:rsidRPr="00237185">
              <w:rPr>
                <w:iCs/>
                <w:sz w:val="21"/>
                <w:szCs w:val="21"/>
                <w:highlight w:val="yellow"/>
              </w:rPr>
              <w:t>применение  СИЗ</w:t>
            </w:r>
            <w:proofErr w:type="gramEnd"/>
            <w:r w:rsidR="00BF7858" w:rsidRPr="00237185">
              <w:rPr>
                <w:iCs/>
                <w:sz w:val="21"/>
                <w:szCs w:val="21"/>
                <w:highlight w:val="yellow"/>
              </w:rPr>
              <w:t xml:space="preserve"> при работе на высоте</w:t>
            </w:r>
            <w:r w:rsidRPr="00C56CFC">
              <w:rPr>
                <w:iCs/>
                <w:sz w:val="22"/>
              </w:rPr>
              <w:t xml:space="preserve"> и другие нарушения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C56CFC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EF0A49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ПОДРЯДЧИКОМ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83683E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lastRenderedPageBreak/>
              <w:t>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энергопотребителей, повреждению электрооборудования, произошедшие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энергопотребителей, повреждению электрооборудования, произошедшие по вине </w:t>
            </w:r>
            <w:r>
              <w:rPr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5512AF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актов-допуска на объект, нарядов-допуска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A72955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  <w:sz w:val="22"/>
              </w:rPr>
              <w:t>ПОДРЯДЧИКА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 xml:space="preserve">ЕНЕРАЛЬНОГО </w:t>
            </w:r>
            <w:proofErr w:type="gramStart"/>
            <w:r>
              <w:rPr>
                <w:sz w:val="22"/>
              </w:rPr>
              <w:t>ЗАКАЗЧИКА,,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а так же ПАО 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81822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ПОДРЯДЧИКОМ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72955" w:rsidRPr="005C778E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</w:p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A72955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B056D0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B056D0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 xml:space="preserve">оказания </w:t>
            </w:r>
            <w:proofErr w:type="gramStart"/>
            <w:r w:rsidRPr="00B056D0">
              <w:rPr>
                <w:sz w:val="22"/>
              </w:rPr>
              <w:t>услуг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EF0A49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>
              <w:rPr>
                <w:sz w:val="22"/>
              </w:rPr>
              <w:t>ДОГОВОРА</w:t>
            </w:r>
          </w:p>
        </w:tc>
      </w:tr>
      <w:tr w:rsidR="00A72955" w:rsidRPr="005C778E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ПОДРЯДЧИКОМ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5512AF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ПОДРЯДЧИКОМ</w:t>
            </w:r>
          </w:p>
        </w:tc>
      </w:tr>
      <w:tr w:rsidR="00A72955" w:rsidRPr="0078057B" w:rsidTr="0083683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УБПОДРЯДЧИКОМ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СУБПОДРЯДЧИКА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>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72955" w:rsidRPr="0078057B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  несмотря</w:t>
            </w:r>
            <w:proofErr w:type="gramEnd"/>
            <w:r w:rsidRPr="00C56CFC">
              <w:rPr>
                <w:sz w:val="22"/>
              </w:rPr>
              <w:t xml:space="preserve">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ПОДРЯДЧИК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EF0A49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EF0A49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A72955" w:rsidRPr="005C778E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ПОДРЯДЧИКА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A72955" w:rsidRPr="005C778E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72955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A72955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74E03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74E03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ПОДРЯДЧИКОМ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EF0A49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</w:t>
            </w:r>
            <w:r w:rsidRPr="00C56CFC">
              <w:rPr>
                <w:iCs/>
                <w:sz w:val="22"/>
              </w:rPr>
              <w:lastRenderedPageBreak/>
              <w:t>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C56CFC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C56CFC">
              <w:rPr>
                <w:iCs/>
                <w:sz w:val="22"/>
              </w:rPr>
              <w:t xml:space="preserve"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</w:t>
            </w:r>
            <w:r w:rsidRPr="00C56CFC">
              <w:rPr>
                <w:iCs/>
                <w:sz w:val="22"/>
              </w:rPr>
              <w:lastRenderedPageBreak/>
              <w:t>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C56CFC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361B1F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</w:t>
      </w:r>
      <w:r w:rsidR="005512AF"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361B1F" w:rsidRPr="00361B1F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FB1361" w:rsidRDefault="004509B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</w:t>
      </w:r>
      <w:r w:rsidR="005512AF">
        <w:rPr>
          <w:sz w:val="22"/>
        </w:rPr>
        <w:t>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2B483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F63711" w:rsidP="005512AF">
            <w:pPr>
              <w:spacing w:line="274" w:lineRule="exact"/>
            </w:pPr>
            <w:r>
              <w:rPr>
                <w:b/>
                <w:spacing w:val="-1"/>
              </w:rPr>
              <w:t>Поставщик</w:t>
            </w:r>
            <w:r w:rsidR="0083683E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F63711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Покупатель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CA29F6" w:rsidP="0083683E">
            <w:pPr>
              <w:spacing w:line="274" w:lineRule="exact"/>
            </w:pPr>
            <w:r>
              <w:t xml:space="preserve"> </w:t>
            </w:r>
          </w:p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BF7858" w:rsidP="00BF7858">
            <w:pPr>
              <w:tabs>
                <w:tab w:val="left" w:pos="426"/>
                <w:tab w:val="left" w:pos="5103"/>
              </w:tabs>
              <w:ind w:hanging="1"/>
            </w:pPr>
            <w:r>
              <w:t>ООО «БНГРЭ»</w:t>
            </w: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Pr="006D47D4" w:rsidRDefault="0083683E" w:rsidP="005A2302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CA29F6">
              <w:t xml:space="preserve"> </w:t>
            </w:r>
          </w:p>
        </w:tc>
        <w:tc>
          <w:tcPr>
            <w:tcW w:w="4260" w:type="dxa"/>
          </w:tcPr>
          <w:p w:rsidR="0083683E" w:rsidRPr="006D47D4" w:rsidRDefault="00BF7858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_______________Н.Ф. Ганиев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5CB" w:rsidRDefault="00AB45CB" w:rsidP="000D7C6A">
      <w:r>
        <w:separator/>
      </w:r>
    </w:p>
  </w:endnote>
  <w:endnote w:type="continuationSeparator" w:id="0">
    <w:p w:rsidR="00AB45CB" w:rsidRDefault="00AB45CB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5CB" w:rsidRDefault="00AB45CB" w:rsidP="000D7C6A">
      <w:r>
        <w:separator/>
      </w:r>
    </w:p>
  </w:footnote>
  <w:footnote w:type="continuationSeparator" w:id="0">
    <w:p w:rsidR="00AB45CB" w:rsidRDefault="00AB45CB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552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218D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81785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B18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6140D"/>
    <w:rsid w:val="0057055D"/>
    <w:rsid w:val="00575A68"/>
    <w:rsid w:val="00581822"/>
    <w:rsid w:val="0058382F"/>
    <w:rsid w:val="00592E07"/>
    <w:rsid w:val="00594E59"/>
    <w:rsid w:val="005976F0"/>
    <w:rsid w:val="005A064A"/>
    <w:rsid w:val="005A2302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04CAA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85415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E6FA3"/>
    <w:rsid w:val="008F0D93"/>
    <w:rsid w:val="008F2DAC"/>
    <w:rsid w:val="008F2EA9"/>
    <w:rsid w:val="008F752C"/>
    <w:rsid w:val="009009E9"/>
    <w:rsid w:val="00904593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5A0B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436ED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45C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56D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119E"/>
    <w:rsid w:val="00B56515"/>
    <w:rsid w:val="00B5735A"/>
    <w:rsid w:val="00B60DF3"/>
    <w:rsid w:val="00B62B64"/>
    <w:rsid w:val="00B70EF4"/>
    <w:rsid w:val="00B75F23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179E9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29F6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6F31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1789"/>
    <w:rsid w:val="00DA05B0"/>
    <w:rsid w:val="00DA11A0"/>
    <w:rsid w:val="00DA1405"/>
    <w:rsid w:val="00DA4073"/>
    <w:rsid w:val="00DA5C04"/>
    <w:rsid w:val="00DA7DC4"/>
    <w:rsid w:val="00DE0171"/>
    <w:rsid w:val="00DE4EF7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66F99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EF7F34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3711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22CE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0A3E1B55"/>
  <w15:docId w15:val="{2391045C-2006-4963-9C5B-AA88F310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98F0E-6152-4C30-8117-2A3994AB8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24898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Акинфеева Наталья Михайловна</cp:lastModifiedBy>
  <cp:revision>7</cp:revision>
  <cp:lastPrinted>2019-12-17T06:36:00Z</cp:lastPrinted>
  <dcterms:created xsi:type="dcterms:W3CDTF">2024-10-22T12:03:00Z</dcterms:created>
  <dcterms:modified xsi:type="dcterms:W3CDTF">2024-12-17T07:16:00Z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